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1A" w:rsidRDefault="00A212D5" w:rsidP="00257DE8">
      <w:pPr>
        <w:spacing w:after="0" w:line="480" w:lineRule="auto"/>
        <w:rPr>
          <w:rFonts w:ascii="Times New Roman" w:hAnsi="Times New Roman" w:cs="Times New Roman"/>
          <w:sz w:val="24"/>
          <w:szCs w:val="24"/>
        </w:rPr>
      </w:pPr>
      <w:bookmarkStart w:id="0" w:name="_GoBack"/>
      <w:bookmarkEnd w:id="0"/>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Pr="00257DE8" w:rsidRDefault="00257DE8" w:rsidP="00257DE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Research Proposal on Drug Abuse</w:t>
      </w: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57DE8" w:rsidRDefault="00257DE8" w:rsidP="00257D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7DE8" w:rsidRDefault="00257DE8" w:rsidP="00257D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lastRenderedPageBreak/>
        <w:t>Introduction</w:t>
      </w:r>
    </w:p>
    <w:p w:rsidR="00A4793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While tobacco consumption continues to be high in most Latin American countries, the use of other substances, such as marijuana, is on the rise, particularly among adolescents and young adults. According to the Organization of American States (2016), marijuana use, among other narcotics, appears to be widespread among students enrolled in higher education programs throughout the Caribbean. There is evidence that drug use has detrimental short- and long-term health consequences for youth, according to a recent report published by the NIDA (National Institute on Drug Abuse). Drug abuse that is excessive appears to have detrimental long-term implications, including altered brain development and the likelihood of becoming addicted to drugs. The NIDA study was carried out in order to give scientifically-based evidence in the context of changes in the United States regulatory framework and a lowered perception of harm associated with the use of substances such as marijuana among young people, among other things (</w:t>
      </w:r>
      <w:proofErr w:type="spellStart"/>
      <w:r w:rsidR="00A47938" w:rsidRPr="00A47938">
        <w:rPr>
          <w:rFonts w:ascii="Times New Roman" w:hAnsi="Times New Roman" w:cs="Times New Roman"/>
          <w:sz w:val="24"/>
          <w:szCs w:val="24"/>
        </w:rPr>
        <w:t>Volkow</w:t>
      </w:r>
      <w:proofErr w:type="spellEnd"/>
      <w:r w:rsidR="00A47938" w:rsidRPr="00A47938">
        <w:rPr>
          <w:rFonts w:ascii="Times New Roman" w:hAnsi="Times New Roman" w:cs="Times New Roman"/>
          <w:sz w:val="24"/>
          <w:szCs w:val="24"/>
        </w:rPr>
        <w:t>, 2017). As a result, according to the results of a poll conducted in the United States, a low risk perception of drug use leads to increased use.</w:t>
      </w:r>
    </w:p>
    <w:p w:rsidR="00A4793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7938" w:rsidRPr="00A47938">
        <w:rPr>
          <w:rFonts w:ascii="Times New Roman" w:hAnsi="Times New Roman" w:cs="Times New Roman"/>
          <w:sz w:val="24"/>
          <w:szCs w:val="24"/>
        </w:rPr>
        <w:t xml:space="preserve">In the opinion of some experts, decreased danger perception combined with increased drug availability may lead to an increase in drug use among people, particularly among young adults. It has been reported by the UNODC (United Nations Office on Drugs and Crime) that the new supervisory structures in Uruguay and the United States have made recreational marijuana lawful under specific conditions, which may lead to individual variances in drug use (UNODC, 2016). The impact of these legislative reforms on people and the wider public, particularly among teenagers, does not appear to have been studied, according to what has been found. The global death rate associated with drug use is forty individuals per million of the population, according to a survey released in 2012. The age range of the survey participants was between </w:t>
      </w:r>
      <w:r w:rsidR="00A47938" w:rsidRPr="00A47938">
        <w:rPr>
          <w:rFonts w:ascii="Times New Roman" w:hAnsi="Times New Roman" w:cs="Times New Roman"/>
          <w:sz w:val="24"/>
          <w:szCs w:val="24"/>
        </w:rPr>
        <w:lastRenderedPageBreak/>
        <w:t>fifteen and sixty-four years. As a result, it was discovered that between 3.6 percent and 6.9 percent of persons in this cohort had used an illicit drug more than once, with marijuana being the most frequently reported.</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7938" w:rsidRPr="00A47938">
        <w:rPr>
          <w:rFonts w:ascii="Times New Roman" w:hAnsi="Times New Roman" w:cs="Times New Roman"/>
          <w:sz w:val="24"/>
          <w:szCs w:val="24"/>
        </w:rPr>
        <w:t>This group believes that marijuana is the illegal drug that produces the least amount of harm to an individual, and they believe that this is true. However, despite the perceived low-risk of drug use, treatment admissions for people who use drugs (such as marijuana) appear to have increased from 24 percent to 40 percent in nations in the Caribbean and Latin America (UNODC, 2014). Health-compromising behaviors committed during adolescence, when the brain is still developing and learning future skills, according to the World Health Organization (WHO), account for the vast majority of health problems that reveal themselves in maturity. Furthermore, the prevalence of many non-communicable diseases is associated with unhealthy activities such as drug use throughout adolescence, which is associated with higher sickness rates (such as alcohol, psychoactive substances and tobacco). According to Hall (2009), substance usage at an early age and on a regular basis increases the likelihood of developing an addiction. It has been demonstrated in several studies that teenagers' desire for feeling is associated with their engagement in a number of potentially risky behaviors, such as the use of psychoactive substances.</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Literature Review</w:t>
      </w:r>
    </w:p>
    <w:p w:rsidR="00257DE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 xml:space="preserve">Adolescence is defined as the span of time between the ages of 10 and nineteen, according to the World Health Organization (2014). While the maturation process that defines adulthood has a predetermined time limit, there is no set time restriction that certifies the completion of the process. Young individuals go through a variety of psychological, social, and physical changes during their adolescence, which help them to develop their independence, </w:t>
      </w:r>
      <w:r w:rsidR="00A47938" w:rsidRPr="00A47938">
        <w:rPr>
          <w:rFonts w:ascii="Times New Roman" w:hAnsi="Times New Roman" w:cs="Times New Roman"/>
          <w:sz w:val="24"/>
          <w:szCs w:val="24"/>
        </w:rPr>
        <w:lastRenderedPageBreak/>
        <w:t xml:space="preserve">maturity, and sense of self as adults. Despite the fact that puberty is widely seen as the beginning of the adolescent process, it is crucial to realize that being a teenager can look very different depending on the time period and environment in which you live. A period of profound transitions, according to </w:t>
      </w:r>
      <w:proofErr w:type="spellStart"/>
      <w:r w:rsidR="00A47938" w:rsidRPr="00A47938">
        <w:rPr>
          <w:rFonts w:ascii="Times New Roman" w:hAnsi="Times New Roman" w:cs="Times New Roman"/>
          <w:sz w:val="24"/>
          <w:szCs w:val="24"/>
        </w:rPr>
        <w:t>Macedo</w:t>
      </w:r>
      <w:proofErr w:type="spellEnd"/>
      <w:r w:rsidR="00A47938" w:rsidRPr="00A47938">
        <w:rPr>
          <w:rFonts w:ascii="Times New Roman" w:hAnsi="Times New Roman" w:cs="Times New Roman"/>
          <w:sz w:val="24"/>
          <w:szCs w:val="24"/>
        </w:rPr>
        <w:t xml:space="preserve"> (2013), is commonly associated with this phrase, which may allow adolescents to develop relationships outside of their familial groups. During this critical period, it is possible that developmental upheavals will have an impact on adolescents' behavior, as well as their beliefs of risks, the future, and the universe.</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7938" w:rsidRPr="00A47938">
        <w:rPr>
          <w:rFonts w:ascii="Times New Roman" w:hAnsi="Times New Roman" w:cs="Times New Roman"/>
          <w:sz w:val="24"/>
          <w:szCs w:val="24"/>
        </w:rPr>
        <w:t>During this stage, a variety of clinical indications, such as depressive symptoms or eating problems, may also manifest themselves, ultimately leading to illness. The result is that the impact of all of these developments is magnified, increasing the likelihood of drug use, disruptive conduct, and self-destruction among young people (Chung, 2008). Use of marijuana, alcohol, and tobacco by persons, particularly adolescents, has been thoroughly researched in a number of states, and the most widely used drugs in this study have been marijuana, alcohol, and cigarettes, with marijuana, alcohol, and cigarettes being the most frequently used. Take, for example, the increasing tendency to use marijuana, which has been on the rise in recent years. It varies from twelve to fifteen years, depending on the country, for a person to develop Alzheimer's disease. This has resulted in a negative association between the insight into destructions held by these children and their usage of illegal drugs. In accordance with several research, excessive drug use begins in childhood and continues throughout adolescence, whether as an occasional use, experimentation with drugs, misuse, or abuse (</w:t>
      </w:r>
      <w:proofErr w:type="spellStart"/>
      <w:r w:rsidR="00A47938" w:rsidRPr="00A47938">
        <w:rPr>
          <w:rFonts w:ascii="Times New Roman" w:hAnsi="Times New Roman" w:cs="Times New Roman"/>
          <w:sz w:val="24"/>
          <w:szCs w:val="24"/>
        </w:rPr>
        <w:t>Schenker</w:t>
      </w:r>
      <w:proofErr w:type="spellEnd"/>
      <w:r w:rsidR="00A47938" w:rsidRPr="00A47938">
        <w:rPr>
          <w:rFonts w:ascii="Times New Roman" w:hAnsi="Times New Roman" w:cs="Times New Roman"/>
          <w:sz w:val="24"/>
          <w:szCs w:val="24"/>
        </w:rPr>
        <w:t xml:space="preserve"> &amp; </w:t>
      </w:r>
      <w:proofErr w:type="spellStart"/>
      <w:r w:rsidR="00A47938" w:rsidRPr="00A47938">
        <w:rPr>
          <w:rFonts w:ascii="Times New Roman" w:hAnsi="Times New Roman" w:cs="Times New Roman"/>
          <w:sz w:val="24"/>
          <w:szCs w:val="24"/>
        </w:rPr>
        <w:t>Minayo</w:t>
      </w:r>
      <w:proofErr w:type="spellEnd"/>
      <w:r w:rsidR="00A47938" w:rsidRPr="00A47938">
        <w:rPr>
          <w:rFonts w:ascii="Times New Roman" w:hAnsi="Times New Roman" w:cs="Times New Roman"/>
          <w:sz w:val="24"/>
          <w:szCs w:val="24"/>
        </w:rPr>
        <w:t xml:space="preserve">, 2005). There are a multitude of reasons why youths use drugs, including filling up spare time, socializing, seeking pleasure or relief from melancholy, serving as a test for group identity </w:t>
      </w:r>
      <w:r w:rsidR="00A47938" w:rsidRPr="00A47938">
        <w:rPr>
          <w:rFonts w:ascii="Times New Roman" w:hAnsi="Times New Roman" w:cs="Times New Roman"/>
          <w:sz w:val="24"/>
          <w:szCs w:val="24"/>
        </w:rPr>
        <w:lastRenderedPageBreak/>
        <w:t>acquisition, unpleasant thoughts and emotions, a need for sensation satisfaction, and anxiety, among others.</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Variables and Hypothesis</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 xml:space="preserve">There were a plethora of alternatives in relation to this investigation. Individuals, particularly young adults (aged 15 to 17 years), who have a low-risk perception of drug use are not more likely to use drugs, according to one null hypothesis. A second null hypothesis states that adolescents who have a low-risk perception of drug use are less likely to use drugs, particularly marijuana. Some of the research hypotheses include the following: first, that individuals, particularly young adults aged 15 to 17, have a low-risk perception of drug use, particularly marijuana; and second, that teenagers have a decreased-harm perspective of drug use, particularly marijuana (15 to 17 years old). Perception is harmed by demographic traits such as grade level, gender, city, and age, which are independent variables that influence perception (MacArthur, 2016). It will be necessary to examine three items from the MTF (Monitoring </w:t>
      </w:r>
      <w:proofErr w:type="gramStart"/>
      <w:r w:rsidR="00A47938" w:rsidRPr="00A47938">
        <w:rPr>
          <w:rFonts w:ascii="Times New Roman" w:hAnsi="Times New Roman" w:cs="Times New Roman"/>
          <w:sz w:val="24"/>
          <w:szCs w:val="24"/>
        </w:rPr>
        <w:t>The</w:t>
      </w:r>
      <w:proofErr w:type="gramEnd"/>
      <w:r w:rsidR="00A47938" w:rsidRPr="00A47938">
        <w:rPr>
          <w:rFonts w:ascii="Times New Roman" w:hAnsi="Times New Roman" w:cs="Times New Roman"/>
          <w:sz w:val="24"/>
          <w:szCs w:val="24"/>
        </w:rPr>
        <w:t xml:space="preserve"> Future) questionnaire in order to assess the overall perception of devastation. It will be necessary to apply the Benthin Risk Perception Measure in order to study the specific perception of harm (Benthin et al.). The dependent variables will be the intention to use drugs as well as actual drug use.</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Population and Sample</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 xml:space="preserve">The population for this study will consist of 1800 students from public higher education institutions in three different states in the United States: California, Alaska, and Texas. The students' ages will range from fifteen to seventeen years, and they will come from a variety of backgrounds. The study's sample was selected in accordance with the study's goal, which was to investigate the perceived harms associated with drug use, specifically marijuana, among </w:t>
      </w:r>
      <w:r w:rsidR="00A47938" w:rsidRPr="00A47938">
        <w:rPr>
          <w:rFonts w:ascii="Times New Roman" w:hAnsi="Times New Roman" w:cs="Times New Roman"/>
          <w:sz w:val="24"/>
          <w:szCs w:val="24"/>
        </w:rPr>
        <w:lastRenderedPageBreak/>
        <w:t>adolescent students (15 to 17 years old) enrolled in public higher education institutions. The sample was drawn from a large pool of students who were enrolled in public higher education institutions at the time of the study. Ordinarily, national reports and censuses conducted by education ministries report the distribution of age groups in five-year increments (Windle, 2016). Consequently, the population of interest in this study is comprised of individuals between the ages of 14 and 19, making it difficult to quantify the size of the population. Consequently, the sample size for each city state was computed using the following formula: because the population's populations and distributions are indefinite, a 50 percent ratio (p=0.5) with a 6 percent accuracy (d=0.06) is assumed, with a 6 percent accuracy (d=0.06) for each city state. This implied that the expected proportion of the population was 0.5, with a 95 percent confidence level and an absolute accuracy of 0.06 percent. At a level of alpha=0.05, according to Cohen and colleagues, a sample size of 268 people within each town can produce moderate influence size results.</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Sample Selection Procedure</w:t>
      </w:r>
    </w:p>
    <w:p w:rsidR="00257DE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In order to account for changes in grade levels and class streaming throughout the three states, the sample group was selected based on age rather than grade level rather than grade level rather than age level. To gather data for the study, 900 questionnaires will be collected from each of the country's three states, for a total sample size of 1800 participants. In three stages, the participants (students) will be chosen: (a) tertiary units will be chosen based on the location of the secondary school; (b) secondary units will be chosen based on the school's choices; and (c) primary units will be chosen based on the gender and age of the participants.</w:t>
      </w:r>
    </w:p>
    <w:p w:rsidR="00257DE8" w:rsidRDefault="00257DE8" w:rsidP="00257DE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Research Design</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A47938" w:rsidRPr="00A47938">
        <w:rPr>
          <w:rFonts w:ascii="Times New Roman" w:hAnsi="Times New Roman" w:cs="Times New Roman"/>
          <w:sz w:val="24"/>
          <w:szCs w:val="24"/>
        </w:rPr>
        <w:t>Because this is a multi-centric study, a quantitative cross-sectional research design will be used, and the research will be carried out in three different states: Texas, California, and Alaska. Approximately 20 participants will be randomly assigned to the experimental group in order to form the group. It is expected that the remaining participants will serve as the study's "control group" (Moure-Rodriguez, 2018).</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Data Collection</w:t>
      </w:r>
    </w:p>
    <w:p w:rsidR="005152F6" w:rsidRDefault="00257DE8" w:rsidP="005152F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5152F6" w:rsidRPr="005152F6">
        <w:rPr>
          <w:rFonts w:ascii="Times New Roman" w:hAnsi="Times New Roman" w:cs="Times New Roman"/>
          <w:sz w:val="24"/>
          <w:szCs w:val="24"/>
        </w:rPr>
        <w:t>Both existing agency data and official figures will be collected for the purposes of this investigation. Police reports and published drug-related criminal occurrences from local police departments will be studied in addition to determine the influence or detriment of drug-related harms on adolescents. By use of a standard letter, the project will seek permission for data collecting from appropriate ethics agencies in each state, such as the school board, the National Drug Council, and local education departments, in order to complete the research. Both pre-testing and instrument application data will be separated into separate groups in the analysis. To preserve the confidentiality of the data collected, the study will employ self-administered and pre-coded questionnaires. The project will use a variety of data collection methods, including participant observations and interviews, to supplement its survey results. As a result, the research will have a valid proximity to the research's attained results in terms of the research's findings (Eisenberg, 2020).</w:t>
      </w:r>
    </w:p>
    <w:p w:rsidR="006F3629" w:rsidRDefault="006F3629" w:rsidP="005152F6">
      <w:pPr>
        <w:spacing w:after="0" w:line="480" w:lineRule="auto"/>
        <w:jc w:val="center"/>
        <w:rPr>
          <w:rFonts w:ascii="Times New Roman" w:hAnsi="Times New Roman" w:cs="Times New Roman"/>
          <w:b/>
          <w:sz w:val="24"/>
          <w:szCs w:val="24"/>
        </w:rPr>
      </w:pPr>
      <w:r w:rsidRPr="006F3629">
        <w:rPr>
          <w:rFonts w:ascii="Times New Roman" w:hAnsi="Times New Roman" w:cs="Times New Roman"/>
          <w:b/>
          <w:sz w:val="24"/>
          <w:szCs w:val="24"/>
        </w:rPr>
        <w:t>Research Considerations</w:t>
      </w:r>
    </w:p>
    <w:p w:rsidR="006F3629" w:rsidRDefault="006F3629" w:rsidP="006F362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5152F6" w:rsidRPr="005152F6">
        <w:rPr>
          <w:rFonts w:ascii="Times New Roman" w:hAnsi="Times New Roman" w:cs="Times New Roman"/>
          <w:sz w:val="24"/>
          <w:szCs w:val="24"/>
        </w:rPr>
        <w:t xml:space="preserve">After an occurrence, reports from local education boards, the National Drug Council, and school boards are usually valid and reliable. Typically, they contain particular facts on the victim, such as his or her name, the type of occurrence, and other pertinent information. In addition, the research technique shall be in accordance with the Tri-council declaration's </w:t>
      </w:r>
      <w:r w:rsidR="005152F6" w:rsidRPr="005152F6">
        <w:rPr>
          <w:rFonts w:ascii="Times New Roman" w:hAnsi="Times New Roman" w:cs="Times New Roman"/>
          <w:sz w:val="24"/>
          <w:szCs w:val="24"/>
        </w:rPr>
        <w:lastRenderedPageBreak/>
        <w:t>guidelines for conducting ethical surveys involving human beings. This will be done in compliance with the Addiction and Mental Health Center's Research Ethics Board's requirements. In addition, each associated higher learning institution's ethics bodies will give their approval to the researchers. Following approval from these agencies and the ethical boards of other participating nations, agreement will be sought from all relevant agencies for the research to be completed. As a result, active consent will be sought from participants' parents, as well as consent from pupils.</w:t>
      </w:r>
    </w:p>
    <w:p w:rsidR="006F3629" w:rsidRPr="006F3629" w:rsidRDefault="006F3629" w:rsidP="006F3629">
      <w:pPr>
        <w:spacing w:after="0" w:line="480" w:lineRule="auto"/>
        <w:jc w:val="center"/>
        <w:rPr>
          <w:rFonts w:ascii="Times New Roman" w:hAnsi="Times New Roman" w:cs="Times New Roman"/>
          <w:b/>
          <w:sz w:val="24"/>
          <w:szCs w:val="24"/>
        </w:rPr>
      </w:pPr>
      <w:r w:rsidRPr="006F3629">
        <w:rPr>
          <w:rFonts w:ascii="Times New Roman" w:hAnsi="Times New Roman" w:cs="Times New Roman"/>
          <w:b/>
          <w:sz w:val="24"/>
          <w:szCs w:val="24"/>
        </w:rPr>
        <w:t>References</w:t>
      </w:r>
    </w:p>
    <w:p w:rsidR="006F3629" w:rsidRDefault="006F3629" w:rsidP="006F3629">
      <w:pPr>
        <w:spacing w:after="0" w:line="480" w:lineRule="auto"/>
        <w:rPr>
          <w:rFonts w:ascii="Times New Roman" w:hAnsi="Times New Roman" w:cs="Times New Roman"/>
          <w:sz w:val="24"/>
          <w:szCs w:val="24"/>
        </w:rPr>
      </w:pPr>
      <w:r w:rsidRPr="006F3629">
        <w:rPr>
          <w:rFonts w:ascii="Times New Roman" w:hAnsi="Times New Roman" w:cs="Times New Roman"/>
          <w:sz w:val="24"/>
          <w:szCs w:val="24"/>
        </w:rPr>
        <w:t xml:space="preserve">Eisenberg, M. E., Erickson, D. J., Gower, A. L., Kne, L., Watson, R. J., Corliss, H. L., &amp; </w:t>
      </w:r>
    </w:p>
    <w:p w:rsidR="006F3629" w:rsidRDefault="006F3629" w:rsidP="006F3629">
      <w:pPr>
        <w:spacing w:after="0" w:line="480" w:lineRule="auto"/>
        <w:ind w:left="720"/>
        <w:rPr>
          <w:rFonts w:ascii="Times New Roman" w:hAnsi="Times New Roman" w:cs="Times New Roman"/>
          <w:sz w:val="24"/>
          <w:szCs w:val="24"/>
        </w:rPr>
      </w:pPr>
      <w:r w:rsidRPr="006F3629">
        <w:rPr>
          <w:rFonts w:ascii="Times New Roman" w:hAnsi="Times New Roman" w:cs="Times New Roman"/>
          <w:sz w:val="24"/>
          <w:szCs w:val="24"/>
        </w:rPr>
        <w:t>Saewyc, E. M. (2020). Supportive community resources are associated with lower risk of substance use among lesbian, gay, bisexual, and questioning adolescents in Minnesota. </w:t>
      </w:r>
      <w:r w:rsidRPr="006F3629">
        <w:rPr>
          <w:rFonts w:ascii="Times New Roman" w:hAnsi="Times New Roman" w:cs="Times New Roman"/>
          <w:i/>
          <w:iCs/>
          <w:sz w:val="24"/>
          <w:szCs w:val="24"/>
        </w:rPr>
        <w:t>Journal of youth and adolescence</w:t>
      </w:r>
      <w:r w:rsidRPr="006F3629">
        <w:rPr>
          <w:rFonts w:ascii="Times New Roman" w:hAnsi="Times New Roman" w:cs="Times New Roman"/>
          <w:sz w:val="24"/>
          <w:szCs w:val="24"/>
        </w:rPr>
        <w:t>, </w:t>
      </w:r>
      <w:r w:rsidRPr="006F3629">
        <w:rPr>
          <w:rFonts w:ascii="Times New Roman" w:hAnsi="Times New Roman" w:cs="Times New Roman"/>
          <w:i/>
          <w:iCs/>
          <w:sz w:val="24"/>
          <w:szCs w:val="24"/>
        </w:rPr>
        <w:t>49</w:t>
      </w:r>
      <w:r w:rsidRPr="006F3629">
        <w:rPr>
          <w:rFonts w:ascii="Times New Roman" w:hAnsi="Times New Roman" w:cs="Times New Roman"/>
          <w:sz w:val="24"/>
          <w:szCs w:val="24"/>
        </w:rPr>
        <w:t>(4), 836-848.</w:t>
      </w:r>
    </w:p>
    <w:p w:rsidR="00257DE8" w:rsidRDefault="006F3629" w:rsidP="006F3629">
      <w:pPr>
        <w:spacing w:after="0" w:line="480" w:lineRule="auto"/>
        <w:rPr>
          <w:rFonts w:ascii="Times New Roman" w:hAnsi="Times New Roman" w:cs="Times New Roman"/>
          <w:sz w:val="24"/>
          <w:szCs w:val="24"/>
        </w:rPr>
      </w:pPr>
      <w:r w:rsidRPr="006F3629">
        <w:rPr>
          <w:rFonts w:ascii="Times New Roman" w:hAnsi="Times New Roman" w:cs="Times New Roman"/>
          <w:sz w:val="24"/>
          <w:szCs w:val="24"/>
        </w:rPr>
        <w:t xml:space="preserve">MacArthur, G. J., Harrison, S., Caldwell, D. M., Hickman, M., &amp; Campbell, R. (2016). Peer‐led </w:t>
      </w:r>
    </w:p>
    <w:p w:rsidR="006F3629" w:rsidRDefault="006F3629" w:rsidP="006F3629">
      <w:pPr>
        <w:spacing w:after="0" w:line="480" w:lineRule="auto"/>
        <w:ind w:left="720"/>
        <w:rPr>
          <w:rFonts w:ascii="Times New Roman" w:hAnsi="Times New Roman" w:cs="Times New Roman"/>
          <w:sz w:val="24"/>
          <w:szCs w:val="24"/>
        </w:rPr>
      </w:pPr>
      <w:r w:rsidRPr="006F3629">
        <w:rPr>
          <w:rFonts w:ascii="Times New Roman" w:hAnsi="Times New Roman" w:cs="Times New Roman"/>
          <w:sz w:val="24"/>
          <w:szCs w:val="24"/>
        </w:rPr>
        <w:t>interventions to prevent tobacco, alcohol and/or drug use among young people aged 11–21 years: a systematic review and meta‐analysis. </w:t>
      </w:r>
      <w:r w:rsidRPr="006F3629">
        <w:rPr>
          <w:rFonts w:ascii="Times New Roman" w:hAnsi="Times New Roman" w:cs="Times New Roman"/>
          <w:i/>
          <w:iCs/>
          <w:sz w:val="24"/>
          <w:szCs w:val="24"/>
        </w:rPr>
        <w:t>Addiction</w:t>
      </w:r>
      <w:r w:rsidRPr="006F3629">
        <w:rPr>
          <w:rFonts w:ascii="Times New Roman" w:hAnsi="Times New Roman" w:cs="Times New Roman"/>
          <w:sz w:val="24"/>
          <w:szCs w:val="24"/>
        </w:rPr>
        <w:t>, </w:t>
      </w:r>
      <w:r w:rsidRPr="006F3629">
        <w:rPr>
          <w:rFonts w:ascii="Times New Roman" w:hAnsi="Times New Roman" w:cs="Times New Roman"/>
          <w:i/>
          <w:iCs/>
          <w:sz w:val="24"/>
          <w:szCs w:val="24"/>
        </w:rPr>
        <w:t>111</w:t>
      </w:r>
      <w:r w:rsidRPr="006F3629">
        <w:rPr>
          <w:rFonts w:ascii="Times New Roman" w:hAnsi="Times New Roman" w:cs="Times New Roman"/>
          <w:sz w:val="24"/>
          <w:szCs w:val="24"/>
        </w:rPr>
        <w:t>(3), 391-407.</w:t>
      </w:r>
    </w:p>
    <w:p w:rsidR="006F3629" w:rsidRDefault="006F3629" w:rsidP="006F3629">
      <w:pPr>
        <w:spacing w:after="0" w:line="480" w:lineRule="auto"/>
        <w:rPr>
          <w:rFonts w:ascii="Times New Roman" w:hAnsi="Times New Roman" w:cs="Times New Roman"/>
          <w:sz w:val="24"/>
          <w:szCs w:val="24"/>
        </w:rPr>
      </w:pPr>
      <w:r w:rsidRPr="006F3629">
        <w:rPr>
          <w:rFonts w:ascii="Times New Roman" w:hAnsi="Times New Roman" w:cs="Times New Roman"/>
          <w:sz w:val="24"/>
          <w:szCs w:val="24"/>
        </w:rPr>
        <w:t xml:space="preserve">Moure-Rodriguez, L., Carbia, C., Lopez-Caneda, E., Corral Varela, M., Cadaveira, F., &amp; </w:t>
      </w:r>
    </w:p>
    <w:p w:rsidR="006F3629" w:rsidRDefault="006F3629" w:rsidP="006F3629">
      <w:pPr>
        <w:spacing w:after="0" w:line="480" w:lineRule="auto"/>
        <w:ind w:left="720"/>
        <w:rPr>
          <w:rFonts w:ascii="Times New Roman" w:hAnsi="Times New Roman" w:cs="Times New Roman"/>
          <w:sz w:val="24"/>
          <w:szCs w:val="24"/>
        </w:rPr>
      </w:pPr>
      <w:r w:rsidRPr="006F3629">
        <w:rPr>
          <w:rFonts w:ascii="Times New Roman" w:hAnsi="Times New Roman" w:cs="Times New Roman"/>
          <w:sz w:val="24"/>
          <w:szCs w:val="24"/>
        </w:rPr>
        <w:t>Caamaño-Isorna, F. (2018). Trends in alcohol use among young people according to the pattern of consumption on starting university: A 9-year follow-up study. </w:t>
      </w:r>
      <w:r w:rsidRPr="006F3629">
        <w:rPr>
          <w:rFonts w:ascii="Times New Roman" w:hAnsi="Times New Roman" w:cs="Times New Roman"/>
          <w:i/>
          <w:iCs/>
          <w:sz w:val="24"/>
          <w:szCs w:val="24"/>
        </w:rPr>
        <w:t>PLoS one</w:t>
      </w:r>
      <w:r w:rsidRPr="006F3629">
        <w:rPr>
          <w:rFonts w:ascii="Times New Roman" w:hAnsi="Times New Roman" w:cs="Times New Roman"/>
          <w:sz w:val="24"/>
          <w:szCs w:val="24"/>
        </w:rPr>
        <w:t>, </w:t>
      </w:r>
      <w:r w:rsidRPr="006F3629">
        <w:rPr>
          <w:rFonts w:ascii="Times New Roman" w:hAnsi="Times New Roman" w:cs="Times New Roman"/>
          <w:i/>
          <w:iCs/>
          <w:sz w:val="24"/>
          <w:szCs w:val="24"/>
        </w:rPr>
        <w:t>13</w:t>
      </w:r>
      <w:r w:rsidRPr="006F3629">
        <w:rPr>
          <w:rFonts w:ascii="Times New Roman" w:hAnsi="Times New Roman" w:cs="Times New Roman"/>
          <w:sz w:val="24"/>
          <w:szCs w:val="24"/>
        </w:rPr>
        <w:t>(4), e0193741.</w:t>
      </w:r>
    </w:p>
    <w:p w:rsidR="006F3629" w:rsidRDefault="006F3629" w:rsidP="006F3629">
      <w:pPr>
        <w:spacing w:after="0" w:line="480" w:lineRule="auto"/>
        <w:rPr>
          <w:rFonts w:ascii="Times New Roman" w:hAnsi="Times New Roman" w:cs="Times New Roman"/>
          <w:i/>
          <w:iCs/>
          <w:sz w:val="24"/>
          <w:szCs w:val="24"/>
        </w:rPr>
      </w:pPr>
      <w:r w:rsidRPr="006F3629">
        <w:rPr>
          <w:rFonts w:ascii="Times New Roman" w:hAnsi="Times New Roman" w:cs="Times New Roman"/>
          <w:sz w:val="24"/>
          <w:szCs w:val="24"/>
        </w:rPr>
        <w:t>Windle, M. (2016). Drinking over the lifespan: Focus on early adolescents and youth. </w:t>
      </w:r>
      <w:r w:rsidRPr="006F3629">
        <w:rPr>
          <w:rFonts w:ascii="Times New Roman" w:hAnsi="Times New Roman" w:cs="Times New Roman"/>
          <w:i/>
          <w:iCs/>
          <w:sz w:val="24"/>
          <w:szCs w:val="24"/>
        </w:rPr>
        <w:t xml:space="preserve">Alcohol </w:t>
      </w:r>
    </w:p>
    <w:p w:rsidR="006F3629" w:rsidRPr="00257DE8" w:rsidRDefault="006F3629" w:rsidP="006F3629">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proofErr w:type="gramStart"/>
      <w:r w:rsidRPr="006F3629">
        <w:rPr>
          <w:rFonts w:ascii="Times New Roman" w:hAnsi="Times New Roman" w:cs="Times New Roman"/>
          <w:i/>
          <w:iCs/>
          <w:sz w:val="24"/>
          <w:szCs w:val="24"/>
        </w:rPr>
        <w:t>research</w:t>
      </w:r>
      <w:proofErr w:type="gramEnd"/>
      <w:r w:rsidRPr="006F3629">
        <w:rPr>
          <w:rFonts w:ascii="Times New Roman" w:hAnsi="Times New Roman" w:cs="Times New Roman"/>
          <w:i/>
          <w:iCs/>
          <w:sz w:val="24"/>
          <w:szCs w:val="24"/>
        </w:rPr>
        <w:t>: current reviews</w:t>
      </w:r>
      <w:r w:rsidRPr="006F3629">
        <w:rPr>
          <w:rFonts w:ascii="Times New Roman" w:hAnsi="Times New Roman" w:cs="Times New Roman"/>
          <w:sz w:val="24"/>
          <w:szCs w:val="24"/>
        </w:rPr>
        <w:t>, </w:t>
      </w:r>
      <w:r w:rsidRPr="006F3629">
        <w:rPr>
          <w:rFonts w:ascii="Times New Roman" w:hAnsi="Times New Roman" w:cs="Times New Roman"/>
          <w:i/>
          <w:iCs/>
          <w:sz w:val="24"/>
          <w:szCs w:val="24"/>
        </w:rPr>
        <w:t>38</w:t>
      </w:r>
      <w:r w:rsidRPr="006F3629">
        <w:rPr>
          <w:rFonts w:ascii="Times New Roman" w:hAnsi="Times New Roman" w:cs="Times New Roman"/>
          <w:sz w:val="24"/>
          <w:szCs w:val="24"/>
        </w:rPr>
        <w:t>(1), 95.</w:t>
      </w:r>
    </w:p>
    <w:sectPr w:rsidR="006F3629" w:rsidRPr="00257DE8" w:rsidSect="00257D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D5" w:rsidRDefault="00A212D5" w:rsidP="00257DE8">
      <w:pPr>
        <w:spacing w:after="0" w:line="240" w:lineRule="auto"/>
      </w:pPr>
      <w:r>
        <w:separator/>
      </w:r>
    </w:p>
  </w:endnote>
  <w:endnote w:type="continuationSeparator" w:id="0">
    <w:p w:rsidR="00A212D5" w:rsidRDefault="00A212D5" w:rsidP="0025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D5" w:rsidRDefault="00A212D5" w:rsidP="00257DE8">
      <w:pPr>
        <w:spacing w:after="0" w:line="240" w:lineRule="auto"/>
      </w:pPr>
      <w:r>
        <w:separator/>
      </w:r>
    </w:p>
  </w:footnote>
  <w:footnote w:type="continuationSeparator" w:id="0">
    <w:p w:rsidR="00A212D5" w:rsidRDefault="00A212D5" w:rsidP="00257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48773"/>
      <w:docPartObj>
        <w:docPartGallery w:val="Page Numbers (Top of Page)"/>
        <w:docPartUnique/>
      </w:docPartObj>
    </w:sdtPr>
    <w:sdtEndPr>
      <w:rPr>
        <w:noProof/>
      </w:rPr>
    </w:sdtEndPr>
    <w:sdtContent>
      <w:p w:rsidR="00257DE8" w:rsidRDefault="00257DE8">
        <w:pPr>
          <w:pStyle w:val="Header"/>
          <w:jc w:val="right"/>
        </w:pPr>
        <w:r w:rsidRPr="00257DE8">
          <w:rPr>
            <w:rFonts w:ascii="Times New Roman" w:hAnsi="Times New Roman" w:cs="Times New Roman"/>
            <w:sz w:val="24"/>
            <w:szCs w:val="24"/>
          </w:rPr>
          <w:fldChar w:fldCharType="begin"/>
        </w:r>
        <w:r w:rsidRPr="00257DE8">
          <w:rPr>
            <w:rFonts w:ascii="Times New Roman" w:hAnsi="Times New Roman" w:cs="Times New Roman"/>
            <w:sz w:val="24"/>
            <w:szCs w:val="24"/>
          </w:rPr>
          <w:instrText xml:space="preserve"> PAGE   \* MERGEFORMAT </w:instrText>
        </w:r>
        <w:r w:rsidRPr="00257DE8">
          <w:rPr>
            <w:rFonts w:ascii="Times New Roman" w:hAnsi="Times New Roman" w:cs="Times New Roman"/>
            <w:sz w:val="24"/>
            <w:szCs w:val="24"/>
          </w:rPr>
          <w:fldChar w:fldCharType="separate"/>
        </w:r>
        <w:r w:rsidR="001E4CEC">
          <w:rPr>
            <w:rFonts w:ascii="Times New Roman" w:hAnsi="Times New Roman" w:cs="Times New Roman"/>
            <w:noProof/>
            <w:sz w:val="24"/>
            <w:szCs w:val="24"/>
          </w:rPr>
          <w:t>8</w:t>
        </w:r>
        <w:r w:rsidRPr="00257DE8">
          <w:rPr>
            <w:rFonts w:ascii="Times New Roman" w:hAnsi="Times New Roman" w:cs="Times New Roman"/>
            <w:noProof/>
            <w:sz w:val="24"/>
            <w:szCs w:val="24"/>
          </w:rPr>
          <w:fldChar w:fldCharType="end"/>
        </w:r>
      </w:p>
    </w:sdtContent>
  </w:sdt>
  <w:p w:rsidR="00257DE8" w:rsidRPr="00257DE8" w:rsidRDefault="00257DE8" w:rsidP="00257DE8">
    <w:pPr>
      <w:pStyle w:val="Header"/>
      <w:rPr>
        <w:rFonts w:ascii="Times New Roman" w:hAnsi="Times New Roman" w:cs="Times New Roman"/>
        <w:sz w:val="24"/>
        <w:szCs w:val="24"/>
      </w:rPr>
    </w:pPr>
    <w:r w:rsidRPr="00257DE8">
      <w:rPr>
        <w:rFonts w:ascii="Times New Roman" w:hAnsi="Times New Roman" w:cs="Times New Roman"/>
        <w:sz w:val="24"/>
        <w:szCs w:val="24"/>
      </w:rPr>
      <w:t>RESEARCH PROPOSAL ON DRUG ABUSE</w:t>
    </w:r>
  </w:p>
  <w:p w:rsidR="00257DE8" w:rsidRDefault="00257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63541687"/>
      <w:docPartObj>
        <w:docPartGallery w:val="Page Numbers (Top of Page)"/>
        <w:docPartUnique/>
      </w:docPartObj>
    </w:sdtPr>
    <w:sdtEndPr>
      <w:rPr>
        <w:noProof/>
      </w:rPr>
    </w:sdtEndPr>
    <w:sdtContent>
      <w:p w:rsidR="00257DE8" w:rsidRPr="00257DE8" w:rsidRDefault="00257DE8">
        <w:pPr>
          <w:pStyle w:val="Header"/>
          <w:jc w:val="right"/>
          <w:rPr>
            <w:rFonts w:ascii="Times New Roman" w:hAnsi="Times New Roman" w:cs="Times New Roman"/>
            <w:sz w:val="24"/>
            <w:szCs w:val="24"/>
          </w:rPr>
        </w:pPr>
        <w:r w:rsidRPr="00257DE8">
          <w:rPr>
            <w:rFonts w:ascii="Times New Roman" w:hAnsi="Times New Roman" w:cs="Times New Roman"/>
            <w:sz w:val="24"/>
            <w:szCs w:val="24"/>
          </w:rPr>
          <w:fldChar w:fldCharType="begin"/>
        </w:r>
        <w:r w:rsidRPr="00257DE8">
          <w:rPr>
            <w:rFonts w:ascii="Times New Roman" w:hAnsi="Times New Roman" w:cs="Times New Roman"/>
            <w:sz w:val="24"/>
            <w:szCs w:val="24"/>
          </w:rPr>
          <w:instrText xml:space="preserve"> PAGE   \* MERGEFORMAT </w:instrText>
        </w:r>
        <w:r w:rsidRPr="00257DE8">
          <w:rPr>
            <w:rFonts w:ascii="Times New Roman" w:hAnsi="Times New Roman" w:cs="Times New Roman"/>
            <w:sz w:val="24"/>
            <w:szCs w:val="24"/>
          </w:rPr>
          <w:fldChar w:fldCharType="separate"/>
        </w:r>
        <w:r w:rsidR="001E4CEC">
          <w:rPr>
            <w:rFonts w:ascii="Times New Roman" w:hAnsi="Times New Roman" w:cs="Times New Roman"/>
            <w:noProof/>
            <w:sz w:val="24"/>
            <w:szCs w:val="24"/>
          </w:rPr>
          <w:t>1</w:t>
        </w:r>
        <w:r w:rsidRPr="00257DE8">
          <w:rPr>
            <w:rFonts w:ascii="Times New Roman" w:hAnsi="Times New Roman" w:cs="Times New Roman"/>
            <w:noProof/>
            <w:sz w:val="24"/>
            <w:szCs w:val="24"/>
          </w:rPr>
          <w:fldChar w:fldCharType="end"/>
        </w:r>
      </w:p>
    </w:sdtContent>
  </w:sdt>
  <w:p w:rsidR="00257DE8" w:rsidRPr="00257DE8" w:rsidRDefault="00257DE8">
    <w:pPr>
      <w:pStyle w:val="Header"/>
      <w:rPr>
        <w:rFonts w:ascii="Times New Roman" w:hAnsi="Times New Roman" w:cs="Times New Roman"/>
        <w:sz w:val="24"/>
        <w:szCs w:val="24"/>
      </w:rPr>
    </w:pPr>
    <w:r>
      <w:rPr>
        <w:rFonts w:ascii="Times New Roman" w:hAnsi="Times New Roman" w:cs="Times New Roman"/>
        <w:sz w:val="24"/>
        <w:szCs w:val="24"/>
      </w:rPr>
      <w:t>Running Head: RESEARCH PROPOSAL ON DRUG ABUSE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E8"/>
    <w:rsid w:val="001E4CEC"/>
    <w:rsid w:val="00257DE8"/>
    <w:rsid w:val="002A7012"/>
    <w:rsid w:val="0035149C"/>
    <w:rsid w:val="005152F6"/>
    <w:rsid w:val="006F3629"/>
    <w:rsid w:val="008036C0"/>
    <w:rsid w:val="008B580E"/>
    <w:rsid w:val="009C391E"/>
    <w:rsid w:val="00A212D5"/>
    <w:rsid w:val="00A47938"/>
    <w:rsid w:val="00F4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DE8"/>
  </w:style>
  <w:style w:type="paragraph" w:styleId="Footer">
    <w:name w:val="footer"/>
    <w:basedOn w:val="Normal"/>
    <w:link w:val="FooterChar"/>
    <w:uiPriority w:val="99"/>
    <w:unhideWhenUsed/>
    <w:rsid w:val="0025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DE8"/>
  </w:style>
  <w:style w:type="paragraph" w:styleId="Footer">
    <w:name w:val="footer"/>
    <w:basedOn w:val="Normal"/>
    <w:link w:val="FooterChar"/>
    <w:uiPriority w:val="99"/>
    <w:unhideWhenUsed/>
    <w:rsid w:val="0025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2021-08-10T17:30:00Z</dcterms:created>
  <dcterms:modified xsi:type="dcterms:W3CDTF">2021-08-10T17:30:00Z</dcterms:modified>
</cp:coreProperties>
</file>